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Pr="00C93C49" w:rsidRDefault="00CB0520" w:rsidP="00CB0520">
      <w:pPr>
        <w:jc w:val="center"/>
        <w:rPr>
          <w:rFonts w:ascii="Times New Roman" w:hAnsi="Times New Roman"/>
          <w:sz w:val="24"/>
          <w:szCs w:val="22"/>
        </w:rPr>
      </w:pPr>
      <w:r w:rsidRPr="00C93C49">
        <w:rPr>
          <w:rFonts w:ascii="Times New Roman" w:hAnsi="Times New Roman"/>
          <w:sz w:val="24"/>
        </w:rPr>
        <w:t>NL</w:t>
      </w:r>
    </w:p>
    <w:p w14:paraId="2D00CB42" w14:textId="77777777" w:rsidR="00CB0520" w:rsidRPr="00C93C49" w:rsidRDefault="00CB0520" w:rsidP="00CB0520">
      <w:pPr>
        <w:rPr>
          <w:rFonts w:asciiTheme="minorHAnsi" w:hAnsiTheme="minorHAnsi"/>
          <w:sz w:val="22"/>
        </w:rPr>
      </w:pPr>
    </w:p>
    <w:p w14:paraId="2B5F5695" w14:textId="77777777" w:rsidR="009C5DD6" w:rsidRPr="00C93C49" w:rsidRDefault="009C5DD6" w:rsidP="009C5DD6">
      <w:pPr>
        <w:jc w:val="center"/>
        <w:rPr>
          <w:rFonts w:ascii="Times New Roman" w:hAnsi="Times New Roman"/>
          <w:sz w:val="24"/>
        </w:rPr>
      </w:pPr>
      <w:r w:rsidRPr="00C93C49">
        <w:rPr>
          <w:rFonts w:ascii="Times New Roman" w:hAnsi="Times New Roman"/>
          <w:sz w:val="24"/>
        </w:rPr>
        <w:t>BIJLAGE II</w:t>
      </w:r>
    </w:p>
    <w:p w14:paraId="03895EA2" w14:textId="77777777" w:rsidR="009C5DD6" w:rsidRPr="00C93C49" w:rsidRDefault="009C5DD6" w:rsidP="009C5DD6">
      <w:pPr>
        <w:jc w:val="center"/>
        <w:rPr>
          <w:rFonts w:ascii="Times New Roman" w:hAnsi="Times New Roman"/>
          <w:sz w:val="24"/>
        </w:rPr>
      </w:pPr>
      <w:r w:rsidRPr="00C93C49">
        <w:rPr>
          <w:rFonts w:ascii="Times New Roman" w:hAnsi="Times New Roman"/>
          <w:sz w:val="24"/>
        </w:rPr>
        <w:t>“BIJLAGE II</w:t>
      </w:r>
    </w:p>
    <w:p w14:paraId="480031C9" w14:textId="77777777" w:rsidR="009C5DD6" w:rsidRPr="00C93C49" w:rsidRDefault="009C5DD6" w:rsidP="009C5DD6">
      <w:pPr>
        <w:jc w:val="center"/>
        <w:rPr>
          <w:rFonts w:ascii="Times New Roman" w:hAnsi="Times New Roman"/>
          <w:b/>
          <w:sz w:val="24"/>
        </w:rPr>
      </w:pPr>
      <w:r w:rsidRPr="00C93C49">
        <w:rPr>
          <w:rFonts w:ascii="Times New Roman" w:hAnsi="Times New Roman"/>
          <w:b/>
          <w:sz w:val="24"/>
        </w:rPr>
        <w:t>INSTRUCTIES VOOR RAPPORTAGE INZAKE EIGEN VERMOGEN EN EIGENVERMOGENSVEREISTEN</w:t>
      </w:r>
    </w:p>
    <w:p w14:paraId="08E08E50" w14:textId="77777777" w:rsidR="00EE75F2" w:rsidRPr="00C93C49" w:rsidRDefault="00EE75F2"/>
    <w:p w14:paraId="29C05932" w14:textId="7194A2B7" w:rsidR="00925646" w:rsidRPr="00C93C49" w:rsidRDefault="00FA21C6" w:rsidP="00925646">
      <w:pPr>
        <w:spacing w:before="0" w:after="0"/>
        <w:jc w:val="left"/>
        <w:rPr>
          <w:rStyle w:val="InstructionsTabelleText"/>
          <w:rFonts w:ascii="Times New Roman" w:hAnsi="Times New Roman"/>
          <w:b/>
          <w:bCs/>
          <w:sz w:val="24"/>
          <w:u w:val="single"/>
        </w:rPr>
      </w:pPr>
      <w:r w:rsidRPr="00C93C49">
        <w:rPr>
          <w:rStyle w:val="InstructionsTabelleText"/>
          <w:rFonts w:ascii="Times New Roman" w:hAnsi="Times New Roman"/>
          <w:b/>
          <w:sz w:val="24"/>
          <w:u w:val="single"/>
        </w:rPr>
        <w:t>DEEL II: INSTRUCTIES MET BETREKKING TOT DE TEMPLATES</w:t>
      </w:r>
    </w:p>
    <w:p w14:paraId="4DA6D037" w14:textId="77777777" w:rsidR="00FC29F5" w:rsidRPr="00C93C49" w:rsidRDefault="00736637" w:rsidP="00925646">
      <w:pPr>
        <w:spacing w:before="0" w:after="0"/>
        <w:jc w:val="left"/>
        <w:rPr>
          <w:rStyle w:val="InstructionsTabelleText"/>
          <w:rFonts w:ascii="Times New Roman" w:hAnsi="Times New Roman"/>
          <w:sz w:val="24"/>
        </w:rPr>
      </w:pPr>
      <w:r w:rsidRPr="00C93C49">
        <w:rPr>
          <w:rStyle w:val="InstructionsTabelleText"/>
          <w:rFonts w:ascii="Times New Roman" w:hAnsi="Times New Roman"/>
          <w:sz w:val="24"/>
        </w:rPr>
        <w:t xml:space="preserve"> </w:t>
      </w:r>
    </w:p>
    <w:p w14:paraId="7B580897" w14:textId="4FDF8965" w:rsidR="00736637" w:rsidRPr="00C93C49" w:rsidRDefault="00736637" w:rsidP="00925646">
      <w:pPr>
        <w:spacing w:before="0" w:after="0"/>
        <w:jc w:val="left"/>
        <w:rPr>
          <w:rStyle w:val="InstructionsTabelleText"/>
          <w:rFonts w:ascii="Times New Roman" w:hAnsi="Times New Roman"/>
          <w:sz w:val="24"/>
        </w:rPr>
      </w:pPr>
      <w:r w:rsidRPr="00C93C49">
        <w:rPr>
          <w:rStyle w:val="InstructionsTabelleText"/>
          <w:rFonts w:ascii="Times New Roman" w:hAnsi="Times New Roman"/>
          <w:sz w:val="24"/>
        </w:rPr>
        <w:t>(…)</w:t>
      </w:r>
    </w:p>
    <w:p w14:paraId="532AAD9A" w14:textId="77777777" w:rsidR="00925646" w:rsidRPr="00C93C49"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sidRPr="00C93C49">
        <w:rPr>
          <w:rFonts w:ascii="Times New Roman" w:hAnsi="Times New Roman"/>
          <w:sz w:val="24"/>
          <w:u w:val="none"/>
        </w:rPr>
        <w:t>3.6.</w:t>
      </w:r>
      <w:r w:rsidRPr="00C93C49">
        <w:rPr>
          <w:rFonts w:ascii="Times New Roman" w:hAnsi="Times New Roman"/>
          <w:sz w:val="24"/>
          <w:u w:val="none"/>
        </w:rPr>
        <w:tab/>
      </w:r>
      <w:r w:rsidRPr="00C93C49">
        <w:rPr>
          <w:rFonts w:ascii="Times New Roman" w:hAnsi="Times New Roman"/>
          <w:sz w:val="24"/>
        </w:rPr>
        <w:t>C 11.00 – Afwikkelings-/Leveringsrisico (CR SETT)</w:t>
      </w:r>
      <w:bookmarkEnd w:id="0"/>
      <w:bookmarkEnd w:id="1"/>
      <w:bookmarkEnd w:id="2"/>
      <w:bookmarkEnd w:id="3"/>
    </w:p>
    <w:p w14:paraId="2752D001" w14:textId="77777777" w:rsidR="00925646" w:rsidRPr="00C93C49"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sidRPr="00C93C49">
        <w:rPr>
          <w:rFonts w:ascii="Times New Roman" w:hAnsi="Times New Roman"/>
          <w:sz w:val="24"/>
          <w:u w:val="none"/>
        </w:rPr>
        <w:t>3.6.1.</w:t>
      </w:r>
      <w:r w:rsidRPr="00C93C49">
        <w:rPr>
          <w:rFonts w:ascii="Times New Roman" w:hAnsi="Times New Roman"/>
          <w:sz w:val="24"/>
          <w:u w:val="none"/>
        </w:rPr>
        <w:tab/>
      </w:r>
      <w:r w:rsidRPr="00C93C49">
        <w:rPr>
          <w:rFonts w:ascii="Times New Roman" w:hAnsi="Times New Roman"/>
          <w:sz w:val="24"/>
        </w:rPr>
        <w:t>Algemene opmerkingen</w:t>
      </w:r>
      <w:bookmarkEnd w:id="4"/>
      <w:bookmarkEnd w:id="5"/>
      <w:bookmarkEnd w:id="6"/>
      <w:bookmarkEnd w:id="7"/>
      <w:bookmarkEnd w:id="8"/>
      <w:bookmarkEnd w:id="9"/>
    </w:p>
    <w:p w14:paraId="2F026EC9" w14:textId="0B459D4B" w:rsidR="00925646" w:rsidRPr="00C93C49" w:rsidRDefault="00925646" w:rsidP="00925646">
      <w:pPr>
        <w:pStyle w:val="InstructionsText2"/>
        <w:numPr>
          <w:ilvl w:val="0"/>
          <w:numId w:val="0"/>
        </w:numPr>
        <w:ind w:left="993"/>
      </w:pPr>
      <w:r w:rsidRPr="00C93C49">
        <w:fldChar w:fldCharType="begin"/>
      </w:r>
      <w:r w:rsidRPr="00C93C49">
        <w:instrText>seq paragraphs</w:instrText>
      </w:r>
      <w:r w:rsidRPr="00C93C49">
        <w:fldChar w:fldCharType="separate"/>
      </w:r>
      <w:r w:rsidRPr="00C93C49">
        <w:t>99</w:t>
      </w:r>
      <w:r w:rsidRPr="00C93C49">
        <w:fldChar w:fldCharType="end"/>
      </w:r>
      <w:r w:rsidRPr="00C93C49">
        <w:t>.</w:t>
      </w:r>
      <w:r w:rsidRPr="00C93C49">
        <w:tab/>
        <w:t xml:space="preserve">In deze template wordt gevraagd naar informatie over transacties in zowel de handelsportefeuille als de niet-handelsportefeuille die na de overeengekomen leveringsdata nog niet zijn afgewikkeld, alsmede over de daarbij behorende eigenvermogensvereisten voor het afwikkelingsrisico als bedoeld in artikel 92, lid 3, punt c), ii), en artikel 378 van Verordening (EU) nr. 575/2013. </w:t>
      </w:r>
    </w:p>
    <w:p w14:paraId="0B60E63F" w14:textId="08AFF3CE" w:rsidR="00925646" w:rsidRPr="00C93C49" w:rsidRDefault="00925646" w:rsidP="00925646">
      <w:pPr>
        <w:pStyle w:val="InstructionsText2"/>
        <w:numPr>
          <w:ilvl w:val="0"/>
          <w:numId w:val="0"/>
        </w:numPr>
        <w:ind w:left="993"/>
      </w:pPr>
      <w:r w:rsidRPr="00C93C49">
        <w:fldChar w:fldCharType="begin"/>
      </w:r>
      <w:r w:rsidRPr="00C93C49">
        <w:instrText>seq paragraphs</w:instrText>
      </w:r>
      <w:r w:rsidRPr="00C93C49">
        <w:fldChar w:fldCharType="separate"/>
      </w:r>
      <w:r w:rsidRPr="00C93C49">
        <w:t>100</w:t>
      </w:r>
      <w:r w:rsidRPr="00C93C49">
        <w:fldChar w:fldCharType="end"/>
      </w:r>
      <w:r w:rsidRPr="00C93C49">
        <w:t>.</w:t>
      </w:r>
      <w:r w:rsidRPr="00C93C49">
        <w:tab/>
        <w:t xml:space="preserve">De instellingen rapporteren in de CR SETT-template informatie over het afwikkelings-/leveringsrisico met betrekking tot schuldinstrumenten, aandelen, valuta en grondstoffen in hun handels- of niet-handelsportefeuille. </w:t>
      </w:r>
    </w:p>
    <w:p w14:paraId="1F6DAE78" w14:textId="6128EA18" w:rsidR="00925646" w:rsidRPr="00C93C49" w:rsidRDefault="00925646" w:rsidP="00925646">
      <w:pPr>
        <w:pStyle w:val="InstructionsText2"/>
        <w:numPr>
          <w:ilvl w:val="0"/>
          <w:numId w:val="0"/>
        </w:numPr>
        <w:ind w:left="993"/>
      </w:pPr>
      <w:r w:rsidRPr="00C93C49">
        <w:fldChar w:fldCharType="begin"/>
      </w:r>
      <w:r w:rsidRPr="00C93C49">
        <w:instrText>seq paragraphs</w:instrText>
      </w:r>
      <w:r w:rsidRPr="00C93C49">
        <w:fldChar w:fldCharType="separate"/>
      </w:r>
      <w:r w:rsidRPr="00C93C49">
        <w:t>101</w:t>
      </w:r>
      <w:r w:rsidRPr="00C93C49">
        <w:fldChar w:fldCharType="end"/>
      </w:r>
      <w:r w:rsidRPr="00C93C49">
        <w:t>.</w:t>
      </w:r>
      <w:r w:rsidRPr="00C93C49">
        <w:tab/>
        <w:t>Overeenkomstig artikel 378 van Verordening (EU) nr. 575/2013 vallen retrocessietransacties en transacties inzake verstrekte of opgenomen effecten- of grondstoffenleningen met betrekking tot schuldinstrumenten, aandelen, valuta en grondstoffen niet onder de eigenvermogensvereisten voor afwikkelings-/leveringsrisico. Niettemin zijn derivaten en transacties met afwikkeling op lange termijn die na de overeengekomen leveringsdata nog niet zijn afgewikkeld, wel aan eigenvermogensvereisten voor het afwikkelings-/leveringsrisico onderworpen, zoals bepaald in artikel 378 van Verordening (EU) nr. 575/2013.</w:t>
      </w:r>
    </w:p>
    <w:p w14:paraId="4DCAF22E" w14:textId="79A986C3" w:rsidR="00925646" w:rsidRPr="00C93C49" w:rsidRDefault="00925646" w:rsidP="00925646">
      <w:pPr>
        <w:pStyle w:val="InstructionsText2"/>
        <w:numPr>
          <w:ilvl w:val="0"/>
          <w:numId w:val="0"/>
        </w:numPr>
        <w:ind w:left="993"/>
      </w:pPr>
      <w:r w:rsidRPr="00C93C49">
        <w:fldChar w:fldCharType="begin"/>
      </w:r>
      <w:r w:rsidRPr="00C93C49">
        <w:instrText>seq paragraphs</w:instrText>
      </w:r>
      <w:r w:rsidRPr="00C93C49">
        <w:fldChar w:fldCharType="separate"/>
      </w:r>
      <w:r w:rsidRPr="00C93C49">
        <w:t>102</w:t>
      </w:r>
      <w:r w:rsidRPr="00C93C49">
        <w:fldChar w:fldCharType="end"/>
      </w:r>
      <w:r w:rsidRPr="00C93C49">
        <w:t>.</w:t>
      </w:r>
      <w:r w:rsidRPr="00C93C49">
        <w:tab/>
        <w:t xml:space="preserve">In het geval van na de overeengekomen leveringsdatum nog niet afgewikkelde transacties berekenen de instellingen het prijsverschil waarvoor zij aan risico zijn blootgesteld. Dit is het verschil tussen de overeengekomen afwikkelingsprijs voor het schuldinstrument, het aandeel, de valuta of de grondstof in kwestie, en de actuele marktwaarde daarvan, indien dit verschil voor de instelling een verlies zou kunnen opleveren. </w:t>
      </w:r>
    </w:p>
    <w:p w14:paraId="7DB9BE93" w14:textId="77A3E431" w:rsidR="00925646" w:rsidRPr="00C93C49" w:rsidRDefault="00925646" w:rsidP="00925646">
      <w:pPr>
        <w:pStyle w:val="InstructionsText2"/>
        <w:numPr>
          <w:ilvl w:val="0"/>
          <w:numId w:val="0"/>
        </w:numPr>
        <w:ind w:left="993"/>
      </w:pPr>
      <w:r w:rsidRPr="00C93C49">
        <w:fldChar w:fldCharType="begin"/>
      </w:r>
      <w:r w:rsidRPr="00C93C49">
        <w:instrText>seq paragraphs</w:instrText>
      </w:r>
      <w:r w:rsidRPr="00C93C49">
        <w:fldChar w:fldCharType="separate"/>
      </w:r>
      <w:r w:rsidRPr="00C93C49">
        <w:t>103</w:t>
      </w:r>
      <w:r w:rsidRPr="00C93C49">
        <w:fldChar w:fldCharType="end"/>
      </w:r>
      <w:r w:rsidRPr="00C93C49">
        <w:t>.</w:t>
      </w:r>
      <w:r w:rsidRPr="00C93C49">
        <w:tab/>
        <w:t>De instellingen vermenigvuldigen dat verschil met de passende factor in tabel 1 in artikel 378 van Verordening (EU) nr. 575/2013 om de overeenkomstige eigenvermogensvereisten te bepalen.</w:t>
      </w:r>
    </w:p>
    <w:p w14:paraId="59D114DF" w14:textId="657627A8" w:rsidR="00925646" w:rsidRPr="00C93C49" w:rsidRDefault="00925646" w:rsidP="00925646">
      <w:pPr>
        <w:pStyle w:val="InstructionsText2"/>
        <w:numPr>
          <w:ilvl w:val="0"/>
          <w:numId w:val="0"/>
        </w:numPr>
        <w:ind w:left="993"/>
      </w:pPr>
      <w:r w:rsidRPr="00C93C49">
        <w:fldChar w:fldCharType="begin"/>
      </w:r>
      <w:r w:rsidRPr="00C93C49">
        <w:instrText>seq paragraphs</w:instrText>
      </w:r>
      <w:r w:rsidRPr="00C93C49">
        <w:fldChar w:fldCharType="separate"/>
      </w:r>
      <w:r w:rsidRPr="00C93C49">
        <w:t>104</w:t>
      </w:r>
      <w:r w:rsidRPr="00C93C49">
        <w:fldChar w:fldCharType="end"/>
      </w:r>
      <w:r w:rsidRPr="00C93C49">
        <w:t>.</w:t>
      </w:r>
      <w:r w:rsidRPr="00C93C49">
        <w:tab/>
        <w:t>Overeenkomstig artikel 92, lid 4, punt b), van Verordening (EU) nr. 575/2013 worden de eigenvermogensvereisten voor afwikkelings-/leveringsrisico met 12,5 vermenigvuldigd om de risicoposten te berekenen.</w:t>
      </w:r>
    </w:p>
    <w:p w14:paraId="451A9870" w14:textId="00DC3B9D" w:rsidR="00925646" w:rsidRPr="00C93C49" w:rsidRDefault="00925646" w:rsidP="00925646">
      <w:pPr>
        <w:pStyle w:val="InstructionsText2"/>
        <w:numPr>
          <w:ilvl w:val="0"/>
          <w:numId w:val="0"/>
        </w:numPr>
        <w:ind w:left="993"/>
      </w:pPr>
      <w:r w:rsidRPr="00C93C49">
        <w:lastRenderedPageBreak/>
        <w:fldChar w:fldCharType="begin"/>
      </w:r>
      <w:r w:rsidRPr="00C93C49">
        <w:instrText>seq paragraphs</w:instrText>
      </w:r>
      <w:r w:rsidRPr="00C93C49">
        <w:fldChar w:fldCharType="separate"/>
      </w:r>
      <w:r w:rsidRPr="00C93C49">
        <w:t>105</w:t>
      </w:r>
      <w:r w:rsidRPr="00C93C49">
        <w:fldChar w:fldCharType="end"/>
      </w:r>
      <w:r w:rsidRPr="00C93C49">
        <w:t>.</w:t>
      </w:r>
      <w:r w:rsidRPr="00C93C49">
        <w:tab/>
        <w:t>N.B. Eigenvermogensvereisten voor niet-afgewikkelde transacties overeenkomstig artikel 379 van Verordening (EU) nr. 575/2013 vallen niet onder de CR SETT-template. Die eigenvermogensvereisten worden in de templates voor kredietrisico (CR SA, CR IRB) gerapporteerd.</w:t>
      </w:r>
    </w:p>
    <w:p w14:paraId="2856C9F8" w14:textId="77777777" w:rsidR="00925646" w:rsidRPr="00C93C49"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sidRPr="00C93C49">
        <w:rPr>
          <w:rFonts w:ascii="Times New Roman" w:hAnsi="Times New Roman"/>
          <w:sz w:val="24"/>
          <w:u w:val="none"/>
        </w:rPr>
        <w:t>3.6.2.</w:t>
      </w:r>
      <w:r w:rsidRPr="00C93C49">
        <w:rPr>
          <w:rFonts w:ascii="Times New Roman" w:hAnsi="Times New Roman"/>
          <w:sz w:val="24"/>
          <w:u w:val="none"/>
        </w:rPr>
        <w:tab/>
      </w:r>
      <w:r w:rsidRPr="00C93C49">
        <w:rPr>
          <w:rFonts w:ascii="Times New Roman" w:hAnsi="Times New Roman"/>
          <w:sz w:val="24"/>
        </w:rPr>
        <w:t>Instructies voor specifieke posities</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C93C49" w14:paraId="1C4B6209" w14:textId="77777777" w:rsidTr="00E07FE9">
        <w:tc>
          <w:tcPr>
            <w:tcW w:w="8856" w:type="dxa"/>
            <w:gridSpan w:val="2"/>
            <w:shd w:val="clear" w:color="auto" w:fill="CCCCCC"/>
          </w:tcPr>
          <w:p w14:paraId="248EFB4C" w14:textId="77777777" w:rsidR="00925646" w:rsidRPr="00C93C49" w:rsidRDefault="00925646" w:rsidP="00E07FE9">
            <w:pPr>
              <w:spacing w:beforeLines="60" w:before="144" w:afterLines="60" w:after="144"/>
              <w:rPr>
                <w:rFonts w:ascii="Times New Roman" w:hAnsi="Times New Roman"/>
                <w:b/>
                <w:sz w:val="24"/>
              </w:rPr>
            </w:pPr>
            <w:r w:rsidRPr="00C93C49">
              <w:rPr>
                <w:rFonts w:ascii="Times New Roman" w:hAnsi="Times New Roman"/>
                <w:b/>
                <w:sz w:val="24"/>
              </w:rPr>
              <w:t>Kolommen</w:t>
            </w:r>
          </w:p>
        </w:tc>
      </w:tr>
      <w:tr w:rsidR="00925646" w:rsidRPr="00C93C49" w14:paraId="0C777B7A" w14:textId="77777777" w:rsidTr="00E07FE9">
        <w:tc>
          <w:tcPr>
            <w:tcW w:w="852" w:type="dxa"/>
          </w:tcPr>
          <w:p w14:paraId="12FCBB6E"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0010</w:t>
            </w:r>
          </w:p>
        </w:tc>
        <w:tc>
          <w:tcPr>
            <w:tcW w:w="8004" w:type="dxa"/>
          </w:tcPr>
          <w:p w14:paraId="04AF1B5E"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NIET-AFGEWIKKELDE TRANSACTIES TEGEN AFWIKKELINGSPRIJS</w:t>
            </w:r>
          </w:p>
          <w:p w14:paraId="4CB9A5A9"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 xml:space="preserve">De instellingen rapporteren de niet-afgewikkelde transacties die na de overeengekomen leveringsdatum nog niet zijn afgewikkeld, tegen de overeengekomen afwikkelingsprijs overeenkomstig artikel 378 van Verordening (EU) nr. 575/2013. </w:t>
            </w:r>
          </w:p>
          <w:p w14:paraId="09152D4C"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Alle niet-afgewikkelde transacties worden in deze kolom vermeld, ongeacht of zij na de overeengekomen afwikkelingsdatum winst of verlies inhouden.</w:t>
            </w:r>
          </w:p>
        </w:tc>
      </w:tr>
      <w:tr w:rsidR="00925646" w:rsidRPr="00C93C49" w14:paraId="5FEA9B26" w14:textId="77777777" w:rsidTr="00E07FE9">
        <w:tc>
          <w:tcPr>
            <w:tcW w:w="852" w:type="dxa"/>
          </w:tcPr>
          <w:p w14:paraId="5EC8BA01"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0020</w:t>
            </w:r>
          </w:p>
        </w:tc>
        <w:tc>
          <w:tcPr>
            <w:tcW w:w="8004" w:type="dxa"/>
          </w:tcPr>
          <w:p w14:paraId="5594AB87"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BLOOTSTELLING IN VERBAND MET PRIJSVERSCHIL ALS GEVOLG VAN NIET-AFGEWIKKELDE TRANSACTIES</w:t>
            </w:r>
          </w:p>
          <w:p w14:paraId="43853ADA"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 xml:space="preserve">De instellingen rapporteren, overeenkomstig artikel 378 van Verordening (EU) nr. 575/2013, het prijsverschil tussen de overeengekomen afwikkelingsprijs voor het schuldinstrument, het aandeel, de valuta of de grondstof in kwestie, en de actuele marktwaarde daarvan, indien dit verschil voor de instelling een verlies zou kunnen opleveren. </w:t>
            </w:r>
          </w:p>
          <w:p w14:paraId="692F8ABE"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Uitsluitend niet-afgewikkelde transacties die na de overeengekomen afwikkelingsdatum verlies inhouden, worden in deze kolom gerapporteerd.</w:t>
            </w:r>
          </w:p>
        </w:tc>
      </w:tr>
      <w:tr w:rsidR="00925646" w:rsidRPr="00C93C49" w14:paraId="40F087AE" w14:textId="77777777" w:rsidTr="00E07FE9">
        <w:tc>
          <w:tcPr>
            <w:tcW w:w="852" w:type="dxa"/>
          </w:tcPr>
          <w:p w14:paraId="464EF1DF"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0030</w:t>
            </w:r>
          </w:p>
        </w:tc>
        <w:tc>
          <w:tcPr>
            <w:tcW w:w="8004" w:type="dxa"/>
          </w:tcPr>
          <w:p w14:paraId="5DA1D585"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EIGENVERMOGENSVEREISTEN</w:t>
            </w:r>
          </w:p>
          <w:p w14:paraId="24894388"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De instellingen rapporteren de overeenkomstig artikel 378 van Verordening (EU) nr. 575/2013 berekende eigenvermogensvereisten.</w:t>
            </w:r>
          </w:p>
        </w:tc>
      </w:tr>
      <w:tr w:rsidR="00925646" w:rsidRPr="00C93C49" w14:paraId="185C6E1B" w14:textId="77777777" w:rsidTr="00E07FE9">
        <w:tc>
          <w:tcPr>
            <w:tcW w:w="852" w:type="dxa"/>
          </w:tcPr>
          <w:p w14:paraId="6691FECB"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0040</w:t>
            </w:r>
          </w:p>
        </w:tc>
        <w:tc>
          <w:tcPr>
            <w:tcW w:w="8004" w:type="dxa"/>
          </w:tcPr>
          <w:p w14:paraId="09E890C2"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TOTAAL VAN DE RISICOPOSTEN VOOR AFWIKKELINGSRISICO</w:t>
            </w:r>
          </w:p>
          <w:p w14:paraId="3A06223E"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Overeenkomstig artikel 92, lid 4, punt b), van Verordening (EU) nr. 575/2013 vermenigvuldigen de instellingen hun in kolom 0030 gerapporteerde eigenvermogensvereisten met 12,5 om de risicoposten voor afwikkelingsrisico te verkrijgen.</w:t>
            </w:r>
          </w:p>
        </w:tc>
      </w:tr>
    </w:tbl>
    <w:p w14:paraId="2CF8C386" w14:textId="77777777" w:rsidR="00925646" w:rsidRPr="00C93C49"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C93C49" w14:paraId="49AB5F6A" w14:textId="77777777" w:rsidTr="00E07FE9">
        <w:tc>
          <w:tcPr>
            <w:tcW w:w="8862" w:type="dxa"/>
            <w:gridSpan w:val="2"/>
            <w:shd w:val="clear" w:color="auto" w:fill="CCCCCC"/>
          </w:tcPr>
          <w:p w14:paraId="5E71AA9E" w14:textId="77777777" w:rsidR="00925646" w:rsidRPr="00C93C49" w:rsidRDefault="00925646" w:rsidP="00E07FE9">
            <w:pPr>
              <w:spacing w:beforeLines="60" w:before="144" w:afterLines="60" w:after="144"/>
              <w:rPr>
                <w:rFonts w:ascii="Times New Roman" w:hAnsi="Times New Roman"/>
                <w:b/>
                <w:sz w:val="24"/>
              </w:rPr>
            </w:pPr>
            <w:r w:rsidRPr="00C93C49">
              <w:rPr>
                <w:rFonts w:ascii="Times New Roman" w:hAnsi="Times New Roman"/>
                <w:b/>
                <w:sz w:val="24"/>
              </w:rPr>
              <w:t>Rijen</w:t>
            </w:r>
          </w:p>
        </w:tc>
      </w:tr>
      <w:tr w:rsidR="00925646" w:rsidRPr="00C93C49" w14:paraId="6E36F3A5" w14:textId="77777777" w:rsidTr="00E07FE9">
        <w:tc>
          <w:tcPr>
            <w:tcW w:w="852" w:type="dxa"/>
          </w:tcPr>
          <w:p w14:paraId="4E78548D"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0010</w:t>
            </w:r>
          </w:p>
        </w:tc>
        <w:tc>
          <w:tcPr>
            <w:tcW w:w="8010" w:type="dxa"/>
          </w:tcPr>
          <w:p w14:paraId="79508667"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Totaal van niet-afgewikkelde transacties in de niet-handelsportefeuille</w:t>
            </w:r>
          </w:p>
          <w:p w14:paraId="21410DD0" w14:textId="700C573F"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lastRenderedPageBreak/>
              <w:t>De instellingen rapporteren de geaggregeerde informatie over het afwikkelings-/leveringsrisico voor posities in de niet-handelsportefeuille (overeenkomstig artikel 92, lid 4, punt ca), en artikel 378 van Verordening (EU) nr. 575/2013).</w:t>
            </w:r>
          </w:p>
          <w:p w14:paraId="57BBA9B8" w14:textId="77777777" w:rsidR="00925646" w:rsidRPr="00C93C49" w:rsidRDefault="00925646" w:rsidP="00E07FE9">
            <w:pPr>
              <w:spacing w:beforeLines="60" w:before="144"/>
              <w:rPr>
                <w:rFonts w:ascii="Times New Roman" w:hAnsi="Times New Roman"/>
                <w:sz w:val="24"/>
              </w:rPr>
            </w:pPr>
            <w:r w:rsidRPr="00C93C49">
              <w:rPr>
                <w:rFonts w:ascii="Times New Roman" w:hAnsi="Times New Roman"/>
                <w:sz w:val="24"/>
              </w:rPr>
              <w:t>De instellingen rapporteren in {r0010;c0010} de geaggregeerde som van op de overeengekomen leveringsdata nog niet afgewikkelde transacties tegen de desbetreffende overeengekomen afwikkelingsprijzen.</w:t>
            </w:r>
          </w:p>
          <w:p w14:paraId="556AEAC8" w14:textId="77777777" w:rsidR="00925646" w:rsidRPr="00C93C49" w:rsidRDefault="00925646" w:rsidP="00E07FE9">
            <w:pPr>
              <w:spacing w:beforeLines="60" w:before="144"/>
              <w:rPr>
                <w:rFonts w:ascii="Times New Roman" w:hAnsi="Times New Roman"/>
                <w:sz w:val="24"/>
              </w:rPr>
            </w:pPr>
            <w:r w:rsidRPr="00C93C49">
              <w:rPr>
                <w:rFonts w:ascii="Times New Roman" w:hAnsi="Times New Roman"/>
                <w:sz w:val="24"/>
              </w:rPr>
              <w:t>De instellingen rapporteren in {r0010;c0020} de geaggregeerde informatie over blootstelling in verband met prijsverschillen als gevolg van niet-afgewikkelde transacties die verlies inhouden.</w:t>
            </w:r>
          </w:p>
          <w:p w14:paraId="01BDECED"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De instellingen rapporteren in {r0010;c0030} de geaggregeerde eigenvermogensvereisten voortvloeiend uit optelling van de eigenvermogensvereisten voor niet-afgewikkelde transacties, door het in kolom 0020 gerapporteerde “prijsverschil” te vermenigvuldigen met de passende factor naargelang van het aantal werkdagen na de vastgestelde afwikkelingsdatum (overeenkomstig de in tabel 1 in artikel 378 van Verordening (EU) nr. 575/2013 genoemde categorieën).</w:t>
            </w:r>
          </w:p>
        </w:tc>
      </w:tr>
      <w:tr w:rsidR="00925646" w:rsidRPr="00C93C49" w14:paraId="5C9B2254" w14:textId="77777777" w:rsidTr="00E07FE9">
        <w:tc>
          <w:tcPr>
            <w:tcW w:w="852" w:type="dxa"/>
          </w:tcPr>
          <w:p w14:paraId="4D2DFFF2"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lastRenderedPageBreak/>
              <w:t>0020-0060</w:t>
            </w:r>
          </w:p>
        </w:tc>
        <w:tc>
          <w:tcPr>
            <w:tcW w:w="8010" w:type="dxa"/>
          </w:tcPr>
          <w:p w14:paraId="78C0D32F"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 xml:space="preserve">Transacties met maximaal 4 dagen vertraagde afwikkeling (factor 0 %) </w:t>
            </w:r>
          </w:p>
          <w:p w14:paraId="18729DF9"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tussen 5 en 15 dagen vertraagde afwikkeling (factor 8 %)</w:t>
            </w:r>
          </w:p>
          <w:p w14:paraId="00232284"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tussen 16 en 30 dagen vertraagde afwikkeling (factor 50 %)</w:t>
            </w:r>
          </w:p>
          <w:p w14:paraId="5EEFD940"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tussen 31 en 45 dagen vertraagde afwikkeling (factor 75 %)</w:t>
            </w:r>
          </w:p>
          <w:p w14:paraId="326E480A"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meer dan 46 dagen vertraagde afwikkeling (factor 100 %)</w:t>
            </w:r>
          </w:p>
          <w:p w14:paraId="4BCE7D0D"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 xml:space="preserve">De instellingen rapporteren in de rijen 0020 tot en met 0060 informatie over het afwikkelings-/leveringsrisico voor posities in de niet-handelsportefeuille overeenkomstig de in tabel 1 in artikel 378 van Verordening (EU) nr. 575/2013 genoemde categorieën. </w:t>
            </w:r>
          </w:p>
          <w:p w14:paraId="4BA03842"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r w:rsidR="00925646" w:rsidRPr="00C93C49" w14:paraId="271E44B6" w14:textId="77777777" w:rsidTr="00E07FE9">
        <w:tc>
          <w:tcPr>
            <w:tcW w:w="852" w:type="dxa"/>
          </w:tcPr>
          <w:p w14:paraId="4680CF00"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0070</w:t>
            </w:r>
          </w:p>
        </w:tc>
        <w:tc>
          <w:tcPr>
            <w:tcW w:w="8010" w:type="dxa"/>
          </w:tcPr>
          <w:p w14:paraId="56920EB6"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Totaal van niet-afgewikkelde transacties in de handelsportefeuille</w:t>
            </w:r>
          </w:p>
          <w:p w14:paraId="3C4B428B" w14:textId="446A5161"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De instellingen rapporteren de geaggregeerde informatie over het afwikkelings-/leveringsrisico voor posities in de handelsportefeuille (overeenkomstig artikel 92, lid 4, punt ca), en artikel 378 van Verordening (EU) nr. 575/2013).</w:t>
            </w:r>
          </w:p>
          <w:p w14:paraId="2E44B3F3"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De instellingen rapporteren in {r0070;c0010} de geaggregeerde som van op de overeengekomen leveringsdata nog niet afgewikkelde transacties tegen de desbetreffende overeengekomen afwikkelingsprijzen.</w:t>
            </w:r>
          </w:p>
          <w:p w14:paraId="1CB848DF"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De instellingen rapporteren in {r0070;c0020} de geaggregeerde informatie over blootstelling in verband met prijsverschillen als gevolg van niet-afgewikkelde transacties die verlies inhouden.</w:t>
            </w:r>
          </w:p>
          <w:p w14:paraId="64D05373" w14:textId="77777777" w:rsidR="00925646" w:rsidRPr="00C93C49" w:rsidRDefault="00925646" w:rsidP="00E07FE9">
            <w:pPr>
              <w:spacing w:beforeLines="60" w:before="144" w:afterLines="60" w:after="144"/>
              <w:rPr>
                <w:rFonts w:ascii="Times New Roman" w:hAnsi="Times New Roman"/>
                <w:b/>
                <w:sz w:val="24"/>
              </w:rPr>
            </w:pPr>
            <w:r w:rsidRPr="00C93C49">
              <w:rPr>
                <w:rFonts w:ascii="Times New Roman" w:hAnsi="Times New Roman"/>
                <w:sz w:val="24"/>
              </w:rPr>
              <w:t xml:space="preserve">De instellingen rapporteren in {r0070;c0030} de geaggregeerde eigenvermogensvereisten voortvloeiend uit optelling van de eigenvermogensvereisten voor niet-afgewikkelde transacties, door het in kolom </w:t>
            </w:r>
            <w:r w:rsidRPr="00C93C49">
              <w:rPr>
                <w:rFonts w:ascii="Times New Roman" w:hAnsi="Times New Roman"/>
                <w:sz w:val="24"/>
              </w:rPr>
              <w:lastRenderedPageBreak/>
              <w:t>0020 gerapporteerde “prijsverschil” te vermenigvuldigen met een passende factor gebaseerd op het aantal werkdagen na de vastgestelde afwikkelingsdatum (overeenkomstig de in tabel 1 in artikel 378 van Verordening (EU) nr. 575/2013 genoemde categorieën).</w:t>
            </w:r>
          </w:p>
        </w:tc>
      </w:tr>
      <w:tr w:rsidR="00925646" w:rsidRPr="00C93C49" w14:paraId="2284D88A" w14:textId="77777777" w:rsidTr="00E07FE9">
        <w:tc>
          <w:tcPr>
            <w:tcW w:w="852" w:type="dxa"/>
          </w:tcPr>
          <w:p w14:paraId="4F3EBD1A"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lastRenderedPageBreak/>
              <w:t>0080-0120</w:t>
            </w:r>
          </w:p>
        </w:tc>
        <w:tc>
          <w:tcPr>
            <w:tcW w:w="8010" w:type="dxa"/>
          </w:tcPr>
          <w:p w14:paraId="34E9771F"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 xml:space="preserve">Transacties met maximaal 4 dagen vertraagde afwikkeling (factor 0 %) </w:t>
            </w:r>
          </w:p>
          <w:p w14:paraId="7B8BB095"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tussen 5 en 15 dagen vertraagde afwikkeling (factor 8 %)</w:t>
            </w:r>
          </w:p>
          <w:p w14:paraId="3902398B"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tussen 16 en 30 dagen vertraagde afwikkeling (factor 50 %)</w:t>
            </w:r>
          </w:p>
          <w:p w14:paraId="25665540"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tussen 31 en 45 dagen vertraagde afwikkeling (factor 75 %)</w:t>
            </w:r>
          </w:p>
          <w:p w14:paraId="61E1443A" w14:textId="77777777" w:rsidR="00925646" w:rsidRPr="00C93C49" w:rsidRDefault="00925646" w:rsidP="00E07FE9">
            <w:pPr>
              <w:spacing w:beforeLines="60" w:before="144" w:afterLines="60" w:after="144"/>
              <w:rPr>
                <w:rStyle w:val="InstructionsTabelleberschrift"/>
                <w:rFonts w:ascii="Times New Roman" w:hAnsi="Times New Roman"/>
                <w:sz w:val="24"/>
              </w:rPr>
            </w:pPr>
            <w:r w:rsidRPr="00C93C49">
              <w:rPr>
                <w:rStyle w:val="InstructionsTabelleberschrift"/>
                <w:rFonts w:ascii="Times New Roman" w:hAnsi="Times New Roman"/>
                <w:sz w:val="24"/>
              </w:rPr>
              <w:t>Transacties met meer dan 46 dagen vertraagde afwikkeling (factor 100 %)</w:t>
            </w:r>
          </w:p>
          <w:p w14:paraId="1A0345F5" w14:textId="77777777" w:rsidR="00925646" w:rsidRPr="00C93C49" w:rsidRDefault="00925646" w:rsidP="00E07FE9">
            <w:pPr>
              <w:spacing w:beforeLines="60" w:before="144" w:afterLines="60" w:after="144"/>
              <w:rPr>
                <w:rFonts w:ascii="Times New Roman" w:hAnsi="Times New Roman"/>
                <w:sz w:val="24"/>
              </w:rPr>
            </w:pPr>
            <w:r w:rsidRPr="00C93C49">
              <w:rPr>
                <w:rFonts w:ascii="Times New Roman" w:hAnsi="Times New Roman"/>
                <w:sz w:val="24"/>
              </w:rPr>
              <w:t xml:space="preserve">De instellingen rapporteren in de rijen 0080 tot en met 0120 informatie over het afwikkelings-/leveringsrisico voor posities in de handelsportefeuille overeenkomstig de in tabel 1 in artikel 378 van Verordening (EU) nr. 575/2013 genoemde categorieën. </w:t>
            </w:r>
          </w:p>
          <w:p w14:paraId="0A9F762A" w14:textId="77777777" w:rsidR="00925646" w:rsidRPr="00C93C49" w:rsidRDefault="00925646" w:rsidP="00E07FE9">
            <w:pPr>
              <w:spacing w:beforeLines="60" w:before="144" w:afterLines="60" w:after="144"/>
              <w:rPr>
                <w:rFonts w:ascii="Times New Roman" w:hAnsi="Times New Roman"/>
                <w:b/>
                <w:sz w:val="24"/>
              </w:rPr>
            </w:pPr>
            <w:r w:rsidRPr="00C93C49">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bl>
    <w:p w14:paraId="5D73F136" w14:textId="77777777" w:rsidR="00925646" w:rsidRPr="00C93C49" w:rsidRDefault="00925646" w:rsidP="00925646">
      <w:pPr>
        <w:spacing w:after="0"/>
        <w:rPr>
          <w:rFonts w:ascii="Times New Roman" w:hAnsi="Times New Roman"/>
          <w:sz w:val="24"/>
        </w:rPr>
      </w:pPr>
    </w:p>
    <w:p w14:paraId="43F97E9B" w14:textId="70FE9D54" w:rsidR="00925646" w:rsidRPr="00C93C49" w:rsidRDefault="00925646" w:rsidP="00925646"/>
    <w:p w14:paraId="557ADFEB" w14:textId="77777777" w:rsidR="00925646" w:rsidRPr="00C93C49" w:rsidRDefault="00925646"/>
    <w:sectPr w:rsidR="00925646" w:rsidRPr="00C93C49">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Pr="00C93C49" w:rsidRDefault="00960943" w:rsidP="00925646">
      <w:pPr>
        <w:spacing w:before="0" w:after="0"/>
        <w:rPr>
          <w:lang w:val="pl-PL"/>
        </w:rPr>
      </w:pPr>
      <w:r w:rsidRPr="00C93C49">
        <w:rPr>
          <w:lang w:val="pl-PL"/>
        </w:rPr>
        <w:separator/>
      </w:r>
    </w:p>
  </w:endnote>
  <w:endnote w:type="continuationSeparator" w:id="0">
    <w:p w14:paraId="65273641" w14:textId="77777777" w:rsidR="00960943" w:rsidRPr="00C93C49" w:rsidRDefault="00960943" w:rsidP="00925646">
      <w:pPr>
        <w:spacing w:before="0" w:after="0"/>
        <w:rPr>
          <w:lang w:val="pl-PL"/>
        </w:rPr>
      </w:pPr>
      <w:r w:rsidRPr="00C93C49">
        <w:rPr>
          <w:lang w:val="pl-P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Pr="00C93C49" w:rsidRDefault="00960943" w:rsidP="00925646">
      <w:pPr>
        <w:spacing w:before="0" w:after="0"/>
        <w:rPr>
          <w:lang w:val="pl-PL"/>
        </w:rPr>
      </w:pPr>
      <w:r w:rsidRPr="00C93C49">
        <w:rPr>
          <w:lang w:val="pl-PL"/>
        </w:rPr>
        <w:separator/>
      </w:r>
    </w:p>
  </w:footnote>
  <w:footnote w:type="continuationSeparator" w:id="0">
    <w:p w14:paraId="07A05382" w14:textId="77777777" w:rsidR="00960943" w:rsidRPr="00C93C49" w:rsidRDefault="00960943" w:rsidP="00925646">
      <w:pPr>
        <w:spacing w:before="0" w:after="0"/>
        <w:rPr>
          <w:lang w:val="pl-PL"/>
        </w:rPr>
      </w:pPr>
      <w:r w:rsidRPr="00C93C49">
        <w:rPr>
          <w:lang w:val="pl-P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Pr="00C93C49" w:rsidRDefault="00925646">
    <w:pPr>
      <w:pStyle w:val="Header"/>
      <w:rPr>
        <w:lang w:val="pl-PL"/>
      </w:rPr>
    </w:pPr>
    <w:r w:rsidRPr="00C93C49">
      <w:rPr>
        <w:lang w:val="pl-PL"/>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Pr="00C93C49" w:rsidRDefault="00925646">
    <w:pPr>
      <w:pStyle w:val="Header"/>
      <w:rPr>
        <w:lang w:val="pl-PL"/>
      </w:rPr>
    </w:pPr>
    <w:r w:rsidRPr="00C93C49">
      <w:rPr>
        <w:lang w:val="pl-PL"/>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Pr="00C93C49" w:rsidRDefault="00925646">
    <w:pPr>
      <w:pStyle w:val="Header"/>
      <w:rPr>
        <w:lang w:val="pl-PL"/>
      </w:rPr>
    </w:pPr>
    <w:r w:rsidRPr="00C93C49">
      <w:rPr>
        <w:lang w:val="pl-PL"/>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05647"/>
    <w:rsid w:val="00631623"/>
    <w:rsid w:val="006364D5"/>
    <w:rsid w:val="00736637"/>
    <w:rsid w:val="007E5623"/>
    <w:rsid w:val="00925646"/>
    <w:rsid w:val="00960943"/>
    <w:rsid w:val="009C5DD6"/>
    <w:rsid w:val="00A6002C"/>
    <w:rsid w:val="00AB618F"/>
    <w:rsid w:val="00B71F25"/>
    <w:rsid w:val="00C93C49"/>
    <w:rsid w:val="00CB0520"/>
    <w:rsid w:val="00EE75F2"/>
    <w:rsid w:val="00EF07A1"/>
    <w:rsid w:val="00F47BB8"/>
    <w:rsid w:val="00F5797B"/>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2.xml><?xml version="1.0" encoding="utf-8"?>
<ds:datastoreItem xmlns:ds="http://schemas.openxmlformats.org/officeDocument/2006/customXml" ds:itemID="{B80846A5-9377-406C-BFC0-E4A6EB25A073}"/>
</file>

<file path=customXml/itemProps3.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1032</Words>
  <Characters>7164</Characters>
  <Application>Microsoft Office Word</Application>
  <DocSecurity>0</DocSecurity>
  <Lines>146</Lines>
  <Paragraphs>69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VAN DELSEN Jolien (DGT)</cp:lastModifiedBy>
  <cp:revision>11</cp:revision>
  <dcterms:created xsi:type="dcterms:W3CDTF">2024-05-28T09:25:00Z</dcterms:created>
  <dcterms:modified xsi:type="dcterms:W3CDTF">2025-01-24T09:57:00Z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